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October 8, 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September 10th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Minutes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(September)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Treasurer’s Report (Brian)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Policy Review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Collection Development Policy </w:t>
            </w:r>
            <w:r w:rsidDel="00000000" w:rsidR="00000000" w:rsidRPr="00000000">
              <w:rPr>
                <w:i w:val="1"/>
                <w:rtl w:val="0"/>
              </w:rPr>
              <w:t xml:space="preserve">(vote required)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Gift Donation Policy </w:t>
            </w:r>
            <w:r w:rsidDel="00000000" w:rsidR="00000000" w:rsidRPr="00000000">
              <w:rPr>
                <w:i w:val="1"/>
                <w:rtl w:val="0"/>
              </w:rPr>
              <w:t xml:space="preserve">(vote required)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2025 library closing dates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 sub recommendation (Sarah Hoff)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Secondary book drop proposal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 </w:t>
            </w:r>
            <w:r w:rsidDel="00000000" w:rsidR="00000000" w:rsidRPr="00000000">
              <w:rPr>
                <w:rtl w:val="0"/>
              </w:rPr>
              <w:t xml:space="preserve">(Christine, Liz, Mary, Mae)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Strategic Plan final review (vote required)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Budget </w:t>
            </w:r>
            <w:r w:rsidDel="00000000" w:rsidR="00000000" w:rsidRPr="00000000">
              <w:rPr>
                <w:rtl w:val="0"/>
              </w:rPr>
              <w:t xml:space="preserve">(Brian, Liz, Mary)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spacing w:line="259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2025 Budget Proposal</w:t>
            </w:r>
            <w:r w:rsidDel="00000000" w:rsidR="00000000" w:rsidRPr="00000000">
              <w:rPr>
                <w:i w:val="1"/>
                <w:rtl w:val="0"/>
              </w:rPr>
              <w:t xml:space="preserve"> (vote required)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Director performance review planning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Personnel Policy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Policy (Christine, Denise, Cori)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Building and Grounds (Rick, Brian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Publicity 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 PM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November 12, 2024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7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wFD2PdJk00ydPux5mL/A31s40Q==">CgMxLjA4AHIhMXhLVWhRQXU4S3ZRSzhXM0o3Yk0yclNoQUFKZGcxSG11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